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Criteri generali per la determinazione delle tariffe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criteri generali per la determinazione delle tariffe che non sono di competenza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generale delle entrate comunali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CD28F5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entro il 31 dicembre e comunque prima dell'approvazione del bilancio di </w:t>
            </w:r>
            <w:r w:rsidRPr="007137E0">
              <w:rPr>
                <w:rFonts w:ascii="Arial" w:hAnsi="Arial"/>
                <w:color w:val="000000"/>
              </w:rPr>
              <w:lastRenderedPageBreak/>
              <w:t>previsione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90E92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28F5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2020-06-30T09:37:00Z</dcterms:modified>
</cp:coreProperties>
</file>